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4385D" w:rsidRDefault="00D4385D" w:rsidP="00D4385D">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FFF8604" wp14:editId="48C5227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85D" w:rsidRDefault="00D4385D" w:rsidP="00D4385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4385D" w:rsidRDefault="00D4385D" w:rsidP="00D4385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4385D" w:rsidRDefault="00D4385D" w:rsidP="00D4385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4385D" w:rsidRDefault="00D4385D" w:rsidP="00D4385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4385D" w:rsidRDefault="00D4385D" w:rsidP="00D4385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4385D" w:rsidRDefault="00D4385D" w:rsidP="00D4385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4DC909D9" wp14:editId="348BAE03">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2A6390" w:rsidRPr="00D15022" w:rsidRDefault="002A6390" w:rsidP="00D4385D">
      <w:pPr>
        <w:spacing w:line="240" w:lineRule="auto"/>
        <w:ind w:firstLine="567"/>
        <w:jc w:val="center"/>
        <w:rPr>
          <w:rFonts w:ascii="Times New Roman" w:hAnsi="Times New Roman" w:cs="Times New Roman"/>
          <w:color w:val="333333"/>
          <w:sz w:val="26"/>
          <w:szCs w:val="26"/>
          <w:shd w:val="clear" w:color="auto" w:fill="FFFFFF"/>
          <w:lang w:val="uk-UA"/>
        </w:rPr>
      </w:pPr>
      <w:r w:rsidRPr="00D15022">
        <w:rPr>
          <w:rFonts w:ascii="Times New Roman" w:hAnsi="Times New Roman" w:cs="Times New Roman"/>
          <w:b/>
          <w:color w:val="333333"/>
          <w:sz w:val="26"/>
          <w:szCs w:val="26"/>
          <w:shd w:val="clear" w:color="auto" w:fill="FFFFFF"/>
          <w:lang w:val="uk-UA"/>
        </w:rPr>
        <w:t>Що є доходом ЮО – платника ЄП третьої групи, яка обрала особливості оподаткування на період дії воєнного стану у разі погашення військових облігацій внутрішньої державної позики?</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Відповідно до п.п. 14.1.44 прим. 1 п. 14.1 ст. 14 Податкового кодексу України від 02 грудня 2010 року № 2755-VI із змінами та доповненнями (далі – ПКУ) державні цінні папери – облігації внутрішніх і зовнішніх державних позик та казначейські зобов’язання України, розміщені центральним органом виконавчої влади, що забезпечує формування та реалізує державну фінансову політику та/або реалізує державну бюджетну політику у сфері управління державним боргом та гарантованим державою боргом.</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Відносини, що виникають під час розміщення, обігу цінних паперів, регулює Закон України від 23 лютого 2006 року № 3480-IV «Про ринки капіталу та організовані товарні ринки» із змінами та доповненнями (далі – Закон № 3480).</w:t>
      </w:r>
    </w:p>
    <w:p w:rsidR="002A6390" w:rsidRPr="00D15022" w:rsidRDefault="002A6390" w:rsidP="00CB6FC6">
      <w:pPr>
        <w:spacing w:after="0" w:line="240" w:lineRule="auto"/>
        <w:ind w:firstLine="567"/>
        <w:jc w:val="both"/>
        <w:rPr>
          <w:rFonts w:ascii="Times New Roman" w:hAnsi="Times New Roman" w:cs="Times New Roman"/>
          <w:color w:val="333333"/>
          <w:sz w:val="26"/>
          <w:szCs w:val="26"/>
          <w:shd w:val="clear" w:color="auto" w:fill="FFFFFF"/>
          <w:lang w:val="uk-UA"/>
        </w:rPr>
      </w:pPr>
      <w:r w:rsidRPr="00D15022">
        <w:rPr>
          <w:rFonts w:ascii="Times New Roman" w:hAnsi="Times New Roman" w:cs="Times New Roman"/>
          <w:color w:val="333333"/>
          <w:sz w:val="26"/>
          <w:szCs w:val="26"/>
          <w:shd w:val="clear" w:color="auto" w:fill="FFFFFF"/>
          <w:lang w:val="uk-UA"/>
        </w:rPr>
        <w:t>Державні облігації України належать до емісійних цінних паперів (п. 5 частини другої ст. 8 Закону № 3480).</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Згідно з частиною другою та третьою ст. 16 Закону № 3480 державні облігації України поділяються на облігації внутрішньої державної позики України та облігації зовнішніх державних позик України.</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Облігації внутрішньої державної позики України – це цінні папери, що розміщуються виключно на внутрішніх ринках капіталу і підтверджують зобов’язання України щодо відшкодування пред’явникам цих облігацій їхньої номінальної вартості з виплатою доходу відповідно до умов розміщення облігацій.</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Частиною третьою ст. 11 Закону № 3480 встановлено, що облігації залежно від способу виплати доходу можуть бути відсотковими або дисконтними.</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Відсоткові облігації – це облігації, за якими передбачається виплата відсоткових доходів або за якими відсоткова ставка дорівнює нулю.</w:t>
      </w:r>
    </w:p>
    <w:p w:rsidR="002A6390" w:rsidRPr="00D15022" w:rsidRDefault="002A6390" w:rsidP="00CB6FC6">
      <w:pPr>
        <w:spacing w:after="0" w:line="240" w:lineRule="auto"/>
        <w:ind w:firstLine="567"/>
        <w:jc w:val="both"/>
        <w:rPr>
          <w:rFonts w:ascii="Times New Roman" w:hAnsi="Times New Roman" w:cs="Times New Roman"/>
          <w:color w:val="333333"/>
          <w:sz w:val="26"/>
          <w:szCs w:val="26"/>
          <w:shd w:val="clear" w:color="auto" w:fill="FFFFFF"/>
          <w:lang w:val="uk-UA"/>
        </w:rPr>
      </w:pPr>
      <w:r w:rsidRPr="00D15022">
        <w:rPr>
          <w:rFonts w:ascii="Times New Roman" w:hAnsi="Times New Roman" w:cs="Times New Roman"/>
          <w:color w:val="333333"/>
          <w:sz w:val="26"/>
          <w:szCs w:val="26"/>
          <w:shd w:val="clear" w:color="auto" w:fill="FFFFFF"/>
          <w:lang w:val="uk-UA"/>
        </w:rPr>
        <w:t>Дисконтні облігації – це облігації, що розміщуються за ціною, нижчою за їхню номінальну вартість. Різниця між ціною придбання та номінальною вартістю облігації, яка виплачується власнику облігації під час її погашення, становить дохід (дисконт) за облігацією.</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Пасивні доходи – доходи, отримані, зокрема, у вигляді відсотків (дисконту), отриманих власником облігації від їх емітента відповідно до закону (п.п. 14.1.268 п. 14.1 ст. 14 ПКУ).</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Пунктом 5 постанови Кабінету Міністрів України від 31 січня 2001 року № 80 «Про розміщення (емісію) облігацій внутрішніх державних позик» із змінами та доповненнями (далі – Постанова № 80) встановлено, що у період воєнного стану в Україні або в окремих її місцевостях Міністерство фінансів України може розміщувати облігації внутрішньої державної позики «Військові облігації» відповідно до затверджених Постановою № 80 основних умов розміщення (емісії) державних облігацій.</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 xml:space="preserve">Разом з тим, постановою Кабінету Міністрів України від 25 лютого 2022 року № 156 «Про випуск облігацій внутрішньої державної позики «Військові облігації» </w:t>
      </w:r>
      <w:r w:rsidRPr="00D15022">
        <w:rPr>
          <w:rFonts w:ascii="Times New Roman" w:hAnsi="Times New Roman" w:cs="Times New Roman"/>
          <w:color w:val="333333"/>
          <w:sz w:val="26"/>
          <w:szCs w:val="26"/>
          <w:shd w:val="clear" w:color="auto" w:fill="FFFFFF"/>
          <w:lang w:val="uk-UA"/>
        </w:rPr>
        <w:lastRenderedPageBreak/>
        <w:t>зі змінами та доповненнями зокрема, встановлено основні умовами поетапного випуску облігацій внутрішньої державної позики «Військові облігації»:</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номінальна вартість однієї облігації – 1000 грн.;</w:t>
      </w:r>
    </w:p>
    <w:p w:rsidR="00CB6FC6" w:rsidRPr="00D15022" w:rsidRDefault="002A6390" w:rsidP="00CB6FC6">
      <w:pPr>
        <w:spacing w:after="0" w:line="240" w:lineRule="auto"/>
        <w:ind w:firstLine="567"/>
        <w:jc w:val="both"/>
        <w:rPr>
          <w:rFonts w:ascii="Times New Roman" w:hAnsi="Times New Roman" w:cs="Times New Roman"/>
          <w:color w:val="333333"/>
          <w:sz w:val="26"/>
          <w:szCs w:val="26"/>
          <w:shd w:val="clear" w:color="auto" w:fill="FFFFFF"/>
          <w:lang w:val="uk-UA"/>
        </w:rPr>
      </w:pPr>
      <w:r w:rsidRPr="00D15022">
        <w:rPr>
          <w:rFonts w:ascii="Times New Roman" w:hAnsi="Times New Roman" w:cs="Times New Roman"/>
          <w:color w:val="333333"/>
          <w:sz w:val="26"/>
          <w:szCs w:val="26"/>
          <w:shd w:val="clear" w:color="auto" w:fill="FFFFFF"/>
          <w:lang w:val="uk-UA"/>
        </w:rPr>
        <w:t>купонний період – один рік;</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ставка доходу – плаваюча ставка, яка обраховується виходячи із середнього значення облікової ставки Національного банку за річний період, який закінчується першого числа місяця, що передує місяцю здійснення чергових купонних виплат та починається першого числа цього ж місяця попереднього року;</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строк обігу – до 30 років.</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 xml:space="preserve">До припинення або скасування воєнного, надзвичайного стану на території України відсоткова ставка єдиного податку для платників єдиного податку третьої групи, які використовують особливості оподаткування, встановлені п. 9 </w:t>
      </w:r>
      <w:proofErr w:type="spellStart"/>
      <w:r w:rsidRPr="00D15022">
        <w:rPr>
          <w:rFonts w:ascii="Times New Roman" w:hAnsi="Times New Roman" w:cs="Times New Roman"/>
          <w:color w:val="333333"/>
          <w:sz w:val="26"/>
          <w:szCs w:val="26"/>
          <w:shd w:val="clear" w:color="auto" w:fill="FFFFFF"/>
          <w:lang w:val="uk-UA"/>
        </w:rPr>
        <w:t>підрозд</w:t>
      </w:r>
      <w:proofErr w:type="spellEnd"/>
      <w:r w:rsidRPr="00D15022">
        <w:rPr>
          <w:rFonts w:ascii="Times New Roman" w:hAnsi="Times New Roman" w:cs="Times New Roman"/>
          <w:color w:val="333333"/>
          <w:sz w:val="26"/>
          <w:szCs w:val="26"/>
          <w:shd w:val="clear" w:color="auto" w:fill="FFFFFF"/>
          <w:lang w:val="uk-UA"/>
        </w:rPr>
        <w:t xml:space="preserve">. 8 </w:t>
      </w:r>
      <w:proofErr w:type="spellStart"/>
      <w:r w:rsidRPr="00D15022">
        <w:rPr>
          <w:rFonts w:ascii="Times New Roman" w:hAnsi="Times New Roman" w:cs="Times New Roman"/>
          <w:color w:val="333333"/>
          <w:sz w:val="26"/>
          <w:szCs w:val="26"/>
          <w:shd w:val="clear" w:color="auto" w:fill="FFFFFF"/>
          <w:lang w:val="uk-UA"/>
        </w:rPr>
        <w:t>розд</w:t>
      </w:r>
      <w:proofErr w:type="spellEnd"/>
      <w:r w:rsidRPr="00D15022">
        <w:rPr>
          <w:rFonts w:ascii="Times New Roman" w:hAnsi="Times New Roman" w:cs="Times New Roman"/>
          <w:color w:val="333333"/>
          <w:sz w:val="26"/>
          <w:szCs w:val="26"/>
          <w:shd w:val="clear" w:color="auto" w:fill="FFFFFF"/>
          <w:lang w:val="uk-UA"/>
        </w:rPr>
        <w:t xml:space="preserve">. XX «Перехідні положення» ПКУ, встановлюється у розмірі 2 </w:t>
      </w:r>
      <w:proofErr w:type="spellStart"/>
      <w:r w:rsidRPr="00D15022">
        <w:rPr>
          <w:rFonts w:ascii="Times New Roman" w:hAnsi="Times New Roman" w:cs="Times New Roman"/>
          <w:color w:val="333333"/>
          <w:sz w:val="26"/>
          <w:szCs w:val="26"/>
          <w:shd w:val="clear" w:color="auto" w:fill="FFFFFF"/>
          <w:lang w:val="uk-UA"/>
        </w:rPr>
        <w:t>відс</w:t>
      </w:r>
      <w:proofErr w:type="spellEnd"/>
      <w:r w:rsidRPr="00D15022">
        <w:rPr>
          <w:rFonts w:ascii="Times New Roman" w:hAnsi="Times New Roman" w:cs="Times New Roman"/>
          <w:color w:val="333333"/>
          <w:sz w:val="26"/>
          <w:szCs w:val="26"/>
          <w:shd w:val="clear" w:color="auto" w:fill="FFFFFF"/>
          <w:lang w:val="uk-UA"/>
        </w:rPr>
        <w:t xml:space="preserve">. доходу, визначеного відповідно до ст. 292 ПКУ (п.п. 9.4 п. 9 </w:t>
      </w:r>
      <w:proofErr w:type="spellStart"/>
      <w:r w:rsidRPr="00D15022">
        <w:rPr>
          <w:rFonts w:ascii="Times New Roman" w:hAnsi="Times New Roman" w:cs="Times New Roman"/>
          <w:color w:val="333333"/>
          <w:sz w:val="26"/>
          <w:szCs w:val="26"/>
          <w:shd w:val="clear" w:color="auto" w:fill="FFFFFF"/>
          <w:lang w:val="uk-UA"/>
        </w:rPr>
        <w:t>підрозд</w:t>
      </w:r>
      <w:proofErr w:type="spellEnd"/>
      <w:r w:rsidRPr="00D15022">
        <w:rPr>
          <w:rFonts w:ascii="Times New Roman" w:hAnsi="Times New Roman" w:cs="Times New Roman"/>
          <w:color w:val="333333"/>
          <w:sz w:val="26"/>
          <w:szCs w:val="26"/>
          <w:shd w:val="clear" w:color="auto" w:fill="FFFFFF"/>
          <w:lang w:val="uk-UA"/>
        </w:rPr>
        <w:t xml:space="preserve">. 8 </w:t>
      </w:r>
      <w:proofErr w:type="spellStart"/>
      <w:r w:rsidRPr="00D15022">
        <w:rPr>
          <w:rFonts w:ascii="Times New Roman" w:hAnsi="Times New Roman" w:cs="Times New Roman"/>
          <w:color w:val="333333"/>
          <w:sz w:val="26"/>
          <w:szCs w:val="26"/>
          <w:shd w:val="clear" w:color="auto" w:fill="FFFFFF"/>
          <w:lang w:val="uk-UA"/>
        </w:rPr>
        <w:t>розд</w:t>
      </w:r>
      <w:proofErr w:type="spellEnd"/>
      <w:r w:rsidRPr="00D15022">
        <w:rPr>
          <w:rFonts w:ascii="Times New Roman" w:hAnsi="Times New Roman" w:cs="Times New Roman"/>
          <w:color w:val="333333"/>
          <w:sz w:val="26"/>
          <w:szCs w:val="26"/>
          <w:shd w:val="clear" w:color="auto" w:fill="FFFFFF"/>
          <w:lang w:val="uk-UA"/>
        </w:rPr>
        <w:t>. XX «Перехідні положення» ПКУ).</w:t>
      </w:r>
    </w:p>
    <w:p w:rsidR="00CB6FC6"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Згідно з п.п. 2 п. 292.1 ст. 292 ПКУ доходом платника єдиного податку для юридичної особи є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п. 292.3 ст. 292 ПКУ.</w:t>
      </w:r>
    </w:p>
    <w:p w:rsidR="00CB6FC6" w:rsidRPr="00D15022" w:rsidRDefault="002A6390" w:rsidP="00CB6FC6">
      <w:pPr>
        <w:spacing w:after="0" w:line="240" w:lineRule="auto"/>
        <w:ind w:firstLine="567"/>
        <w:jc w:val="both"/>
        <w:rPr>
          <w:rFonts w:ascii="Times New Roman" w:hAnsi="Times New Roman" w:cs="Times New Roman"/>
          <w:color w:val="333333"/>
          <w:sz w:val="26"/>
          <w:szCs w:val="26"/>
          <w:shd w:val="clear" w:color="auto" w:fill="FFFFFF"/>
          <w:lang w:val="uk-UA"/>
        </w:rPr>
      </w:pPr>
      <w:r w:rsidRPr="00D15022">
        <w:rPr>
          <w:rFonts w:ascii="Times New Roman" w:hAnsi="Times New Roman" w:cs="Times New Roman"/>
          <w:color w:val="333333"/>
          <w:sz w:val="26"/>
          <w:szCs w:val="26"/>
          <w:shd w:val="clear" w:color="auto" w:fill="FFFFFF"/>
          <w:lang w:val="uk-UA"/>
        </w:rPr>
        <w:t>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підписання платником єдиного податку акту приймання-передачі безоплатно отриманих товарів (робіт, послуг) (п. 292.6 ст. 292 ПКУ).</w:t>
      </w:r>
      <w:r w:rsidRPr="00D15022">
        <w:rPr>
          <w:rFonts w:ascii="Times New Roman" w:hAnsi="Times New Roman" w:cs="Times New Roman"/>
          <w:color w:val="333333"/>
          <w:sz w:val="26"/>
          <w:szCs w:val="26"/>
          <w:lang w:val="uk-UA"/>
        </w:rPr>
        <w:br/>
      </w:r>
      <w:r w:rsidRPr="00D15022">
        <w:rPr>
          <w:rFonts w:ascii="Times New Roman" w:hAnsi="Times New Roman" w:cs="Times New Roman"/>
          <w:color w:val="333333"/>
          <w:sz w:val="26"/>
          <w:szCs w:val="26"/>
          <w:shd w:val="clear" w:color="auto" w:fill="FFFFFF"/>
          <w:lang w:val="uk-UA"/>
        </w:rPr>
        <w:t>     Дохід визначається на підставі даних обліку, який ведеться відповідно до ст. 296 ПКУ (п. 292.13 ст. 292 ПКУ).</w:t>
      </w:r>
    </w:p>
    <w:p w:rsidR="002A6390" w:rsidRPr="00D15022" w:rsidRDefault="002A6390" w:rsidP="00CB6FC6">
      <w:pPr>
        <w:spacing w:after="0" w:line="240" w:lineRule="auto"/>
        <w:ind w:firstLine="567"/>
        <w:jc w:val="both"/>
        <w:rPr>
          <w:rFonts w:ascii="Times New Roman" w:hAnsi="Times New Roman" w:cs="Times New Roman"/>
          <w:color w:val="333333"/>
          <w:sz w:val="26"/>
          <w:szCs w:val="26"/>
          <w:shd w:val="clear" w:color="auto" w:fill="FFFFFF"/>
          <w:lang w:val="uk-UA"/>
        </w:rPr>
      </w:pPr>
      <w:r w:rsidRPr="00D15022">
        <w:rPr>
          <w:rFonts w:ascii="Times New Roman" w:hAnsi="Times New Roman" w:cs="Times New Roman"/>
          <w:color w:val="333333"/>
          <w:sz w:val="26"/>
          <w:szCs w:val="26"/>
          <w:shd w:val="clear" w:color="auto" w:fill="FFFFFF"/>
          <w:lang w:val="uk-UA"/>
        </w:rPr>
        <w:t>Юридичні особи – платники єдиного податку третьої групи використовують дані спрощеного бухгалтерського обліку щодо доходів та витрат з урахуванням положень пп. 44.2, 44.3 ст. 44 ПКУ (абзац п’ятий п. 296.1 ст. 296 ПКУ).</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Юридичні особи - платники єдиного податку третьої групи відповідно до абзацу третього п. 44.2 ст. 44 ПКУ ведуть спрощений бухгалтерський облік доходів та витрат з метою обрахунку об’єкта оподаткування за методикою, затвердженою центральним органом виконавчої влади, що забезпечує формування та реалізує державну фінансову політику.</w:t>
      </w:r>
    </w:p>
    <w:p w:rsidR="002A6390" w:rsidRPr="00D15022" w:rsidRDefault="002A6390" w:rsidP="00CB6FC6">
      <w:pPr>
        <w:spacing w:after="0" w:line="240" w:lineRule="auto"/>
        <w:ind w:firstLine="567"/>
        <w:jc w:val="both"/>
        <w:rPr>
          <w:rFonts w:ascii="Times New Roman" w:hAnsi="Times New Roman" w:cs="Times New Roman"/>
          <w:color w:val="333333"/>
          <w:sz w:val="26"/>
          <w:szCs w:val="26"/>
          <w:lang w:val="uk-UA"/>
        </w:rPr>
      </w:pPr>
      <w:r w:rsidRPr="00D15022">
        <w:rPr>
          <w:rFonts w:ascii="Times New Roman" w:hAnsi="Times New Roman" w:cs="Times New Roman"/>
          <w:color w:val="333333"/>
          <w:sz w:val="26"/>
          <w:szCs w:val="26"/>
          <w:shd w:val="clear" w:color="auto" w:fill="FFFFFF"/>
          <w:lang w:val="uk-UA"/>
        </w:rPr>
        <w:t>Відповідно до абзацу першого п. 5 Національного положення (стандарт) бухгалтерського обліку 15 «Дохід», затвердженого наказом Міністерства фінансів України від 29.11.99 № 290, дохід визнається під час збільшення активу або зменшення зобов’язання, що зумовлює зростання власного капіталу (за винятком зростання капіталу за рахунок внесків учасників підприємства), за умови, що оцінка доходу може бути достовірно визначена.</w:t>
      </w:r>
    </w:p>
    <w:p w:rsidR="00D4385D" w:rsidRPr="00D15022" w:rsidRDefault="002A6390" w:rsidP="00D4385D">
      <w:pPr>
        <w:spacing w:after="0" w:line="240" w:lineRule="auto"/>
        <w:ind w:firstLine="567"/>
        <w:jc w:val="both"/>
        <w:rPr>
          <w:rFonts w:ascii="Times New Roman" w:hAnsi="Times New Roman" w:cs="Times New Roman"/>
          <w:sz w:val="26"/>
          <w:szCs w:val="26"/>
          <w:lang w:val="uk-UA"/>
        </w:rPr>
      </w:pPr>
      <w:r w:rsidRPr="00D15022">
        <w:rPr>
          <w:rFonts w:ascii="Times New Roman" w:hAnsi="Times New Roman" w:cs="Times New Roman"/>
          <w:color w:val="333333"/>
          <w:sz w:val="26"/>
          <w:szCs w:val="26"/>
          <w:shd w:val="clear" w:color="auto" w:fill="FFFFFF"/>
          <w:lang w:val="uk-UA"/>
        </w:rPr>
        <w:t>Отже, у разі погашенні військових облігацій внутрішньої державної позики доходом юридичної особи – платника єдиного податку третьої групи, яка обрала особливості оподаткування на період дії воєнного стану є дохід, отриманий у вигляді відсотків або дисконту відповідно до умов розміщення таких облігацій.</w:t>
      </w:r>
    </w:p>
    <w:p w:rsidR="00D4385D" w:rsidRPr="0066124A" w:rsidRDefault="00D4385D" w:rsidP="00D15022">
      <w:pPr>
        <w:rPr>
          <w:rFonts w:ascii="Times New Roman" w:hAnsi="Times New Roman" w:cs="Times New Roman"/>
          <w:sz w:val="28"/>
          <w:szCs w:val="28"/>
        </w:rPr>
      </w:pPr>
      <w:r w:rsidRPr="00D15022">
        <w:rPr>
          <w:rFonts w:ascii="Times New Roman" w:hAnsi="Times New Roman" w:cs="Times New Roman"/>
          <w:color w:val="333333"/>
          <w:sz w:val="26"/>
          <w:szCs w:val="26"/>
          <w:shd w:val="clear" w:color="auto" w:fill="FFFFFF"/>
        </w:rPr>
        <w:t xml:space="preserve">За </w:t>
      </w:r>
      <w:proofErr w:type="spellStart"/>
      <w:r w:rsidRPr="00D15022">
        <w:rPr>
          <w:rFonts w:ascii="Times New Roman" w:hAnsi="Times New Roman" w:cs="Times New Roman"/>
          <w:color w:val="333333"/>
          <w:sz w:val="26"/>
          <w:szCs w:val="26"/>
          <w:shd w:val="clear" w:color="auto" w:fill="FFFFFF"/>
        </w:rPr>
        <w:t>інформацією</w:t>
      </w:r>
      <w:proofErr w:type="spellEnd"/>
      <w:r w:rsidRPr="00D15022">
        <w:rPr>
          <w:rFonts w:ascii="Times New Roman" w:hAnsi="Times New Roman" w:cs="Times New Roman"/>
          <w:color w:val="333333"/>
          <w:sz w:val="26"/>
          <w:szCs w:val="26"/>
          <w:shd w:val="clear" w:color="auto" w:fill="FFFFFF"/>
        </w:rPr>
        <w:t xml:space="preserve"> </w:t>
      </w:r>
      <w:proofErr w:type="spellStart"/>
      <w:r w:rsidRPr="00D15022">
        <w:rPr>
          <w:rFonts w:ascii="Times New Roman" w:hAnsi="Times New Roman" w:cs="Times New Roman"/>
          <w:color w:val="333333"/>
          <w:sz w:val="26"/>
          <w:szCs w:val="26"/>
          <w:shd w:val="clear" w:color="auto" w:fill="FFFFFF"/>
        </w:rPr>
        <w:t>загальнодоступного</w:t>
      </w:r>
      <w:proofErr w:type="spellEnd"/>
      <w:r w:rsidRPr="00D15022">
        <w:rPr>
          <w:rFonts w:ascii="Times New Roman" w:hAnsi="Times New Roman" w:cs="Times New Roman"/>
          <w:color w:val="333333"/>
          <w:sz w:val="26"/>
          <w:szCs w:val="26"/>
          <w:shd w:val="clear" w:color="auto" w:fill="FFFFFF"/>
        </w:rPr>
        <w:t xml:space="preserve"> </w:t>
      </w:r>
      <w:proofErr w:type="spellStart"/>
      <w:r w:rsidRPr="00D15022">
        <w:rPr>
          <w:rFonts w:ascii="Times New Roman" w:hAnsi="Times New Roman" w:cs="Times New Roman"/>
          <w:color w:val="333333"/>
          <w:sz w:val="26"/>
          <w:szCs w:val="26"/>
          <w:shd w:val="clear" w:color="auto" w:fill="FFFFFF"/>
        </w:rPr>
        <w:t>інформаційно-довідкового</w:t>
      </w:r>
      <w:proofErr w:type="spellEnd"/>
      <w:r w:rsidRPr="00D15022">
        <w:rPr>
          <w:rFonts w:ascii="Times New Roman" w:hAnsi="Times New Roman" w:cs="Times New Roman"/>
          <w:color w:val="333333"/>
          <w:sz w:val="26"/>
          <w:szCs w:val="26"/>
          <w:shd w:val="clear" w:color="auto" w:fill="FFFFFF"/>
        </w:rPr>
        <w:t xml:space="preserve"> ресурсу.</w:t>
      </w:r>
    </w:p>
    <w:p w:rsidR="00D4385D" w:rsidRPr="00D92C16" w:rsidRDefault="00D4385D" w:rsidP="00D4385D">
      <w:pPr>
        <w:spacing w:after="0" w:line="240" w:lineRule="auto"/>
        <w:rPr>
          <w:rFonts w:ascii="Times New Roman" w:hAnsi="Times New Roman" w:cs="Times New Roman"/>
          <w:sz w:val="28"/>
          <w:szCs w:val="28"/>
        </w:rPr>
      </w:pPr>
    </w:p>
    <w:p w:rsidR="00D4385D" w:rsidRPr="00D15022" w:rsidRDefault="00D4385D" w:rsidP="00D4385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D15022">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D15022">
        <w:rPr>
          <w:rFonts w:ascii="Times New Roman" w:hAnsi="Times New Roman" w:cs="Times New Roman"/>
          <w:sz w:val="20"/>
          <w:szCs w:val="20"/>
        </w:rPr>
        <w:t>-</w:t>
      </w:r>
      <w:r w:rsidRPr="00EA716F">
        <w:rPr>
          <w:rFonts w:ascii="Times New Roman" w:hAnsi="Times New Roman" w:cs="Times New Roman"/>
          <w:sz w:val="20"/>
          <w:szCs w:val="20"/>
          <w:lang w:val="en-US"/>
        </w:rPr>
        <w:t>mail</w:t>
      </w:r>
      <w:r w:rsidRPr="00D15022">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D1502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D1502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D1502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D15022">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D4385D" w:rsidRPr="00D4385D" w:rsidRDefault="00D4385D" w:rsidP="00D15022">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D4385D" w:rsidRPr="00D438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390"/>
    <w:rsid w:val="002A6390"/>
    <w:rsid w:val="004E2309"/>
    <w:rsid w:val="0066124A"/>
    <w:rsid w:val="00C91848"/>
    <w:rsid w:val="00CB6FC6"/>
    <w:rsid w:val="00D15022"/>
    <w:rsid w:val="00D4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38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385D"/>
    <w:rPr>
      <w:rFonts w:ascii="Tahoma" w:hAnsi="Tahoma" w:cs="Tahoma"/>
      <w:sz w:val="16"/>
      <w:szCs w:val="16"/>
    </w:rPr>
  </w:style>
  <w:style w:type="character" w:customStyle="1" w:styleId="z-label">
    <w:name w:val="z-label"/>
    <w:basedOn w:val="a0"/>
    <w:rsid w:val="00D4385D"/>
  </w:style>
  <w:style w:type="character" w:styleId="a5">
    <w:name w:val="Hyperlink"/>
    <w:uiPriority w:val="99"/>
    <w:rsid w:val="00D438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38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385D"/>
    <w:rPr>
      <w:rFonts w:ascii="Tahoma" w:hAnsi="Tahoma" w:cs="Tahoma"/>
      <w:sz w:val="16"/>
      <w:szCs w:val="16"/>
    </w:rPr>
  </w:style>
  <w:style w:type="character" w:customStyle="1" w:styleId="z-label">
    <w:name w:val="z-label"/>
    <w:basedOn w:val="a0"/>
    <w:rsid w:val="00D4385D"/>
  </w:style>
  <w:style w:type="character" w:styleId="a5">
    <w:name w:val="Hyperlink"/>
    <w:uiPriority w:val="99"/>
    <w:rsid w:val="00D438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3938</Words>
  <Characters>2246</Characters>
  <Application>Microsoft Office Word</Application>
  <DocSecurity>4</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2022-08-19T08:19:00Z</cp:lastPrinted>
  <dcterms:created xsi:type="dcterms:W3CDTF">2022-08-19T08:20:00Z</dcterms:created>
  <dcterms:modified xsi:type="dcterms:W3CDTF">2022-08-19T08:20:00Z</dcterms:modified>
</cp:coreProperties>
</file>